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00915" y="2249968"/>
                          <a:ext cx="90170" cy="3060065"/>
                        </a:xfrm>
                        <a:custGeom>
                          <a:rect b="b" l="l" r="r" t="t"/>
                          <a:pathLst>
                            <a:path extrusionOk="0" h="3060065" w="90170">
                              <a:moveTo>
                                <a:pt x="90004" y="0"/>
                              </a:moveTo>
                              <a:lnTo>
                                <a:pt x="0" y="0"/>
                              </a:lnTo>
                              <a:lnTo>
                                <a:pt x="0" y="3060001"/>
                              </a:lnTo>
                              <a:lnTo>
                                <a:pt x="90004" y="3060001"/>
                              </a:lnTo>
                              <a:lnTo>
                                <a:pt x="9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76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" cy="306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ind w:firstLine="7"/>
        <w:rPr/>
      </w:pPr>
      <w:r w:rsidDel="00000000" w:rsidR="00000000" w:rsidRPr="00000000">
        <w:rPr>
          <w:color w:val="3fa535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ind w:firstLine="7"/>
        <w:rPr/>
        <w:sectPr>
          <w:footerReference r:id="rId8" w:type="default"/>
          <w:pgSz w:h="16840" w:w="11910" w:orient="portrait"/>
          <w:pgMar w:bottom="840" w:top="1920" w:left="740" w:right="740" w:header="0" w:footer="648"/>
          <w:pgNumType w:start="15"/>
        </w:sectPr>
      </w:pPr>
      <w:r w:rsidDel="00000000" w:rsidR="00000000" w:rsidRPr="00000000">
        <w:rPr>
          <w:color w:val="3fa535"/>
          <w:rtl w:val="0"/>
        </w:rPr>
        <w:t xml:space="preserve">MINUTA DE REGULAMENTO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before="84" w:lineRule="auto"/>
        <w:ind w:right="5" w:firstLine="7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00915" y="2249968"/>
                          <a:ext cx="90170" cy="3060065"/>
                        </a:xfrm>
                        <a:custGeom>
                          <a:rect b="b" l="l" r="r" t="t"/>
                          <a:pathLst>
                            <a:path extrusionOk="0" h="3060065" w="90170">
                              <a:moveTo>
                                <a:pt x="90004" y="0"/>
                              </a:moveTo>
                              <a:lnTo>
                                <a:pt x="0" y="0"/>
                              </a:lnTo>
                              <a:lnTo>
                                <a:pt x="0" y="3060001"/>
                              </a:lnTo>
                              <a:lnTo>
                                <a:pt x="90004" y="3060001"/>
                              </a:lnTo>
                              <a:lnTo>
                                <a:pt x="9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76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" cy="306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f4761"/>
          <w:rtl w:val="0"/>
        </w:rPr>
        <w:t xml:space="preserve">REGULAMENTO DA XX </w:t>
      </w:r>
      <w:r w:rsidDel="00000000" w:rsidR="00000000" w:rsidRPr="00000000">
        <w:rPr>
          <w:color w:val="0f4761"/>
          <w:sz w:val="23.333333333333336"/>
          <w:szCs w:val="23.333333333333336"/>
          <w:vertAlign w:val="superscript"/>
          <w:rtl w:val="0"/>
        </w:rPr>
        <w:t xml:space="preserve">A </w:t>
      </w:r>
      <w:r w:rsidDel="00000000" w:rsidR="00000000" w:rsidRPr="00000000">
        <w:rPr>
          <w:color w:val="0f4761"/>
          <w:rtl w:val="0"/>
        </w:rPr>
        <w:t xml:space="preserve">CONFERÊNCIA DE MEIO AMBIENTE DO MUNICÍPIO 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ind w:left="7" w:right="7" w:firstLine="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color w:val="0f4761"/>
          <w:sz w:val="28"/>
          <w:szCs w:val="28"/>
          <w:rtl w:val="0"/>
        </w:rPr>
        <w:t xml:space="preserve">CAPÍTULO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pacing w:before="391" w:lineRule="auto"/>
        <w:ind w:firstLine="7"/>
        <w:rPr/>
      </w:pPr>
      <w:r w:rsidDel="00000000" w:rsidR="00000000" w:rsidRPr="00000000">
        <w:rPr>
          <w:color w:val="0f4761"/>
          <w:rtl w:val="0"/>
        </w:rPr>
        <w:t xml:space="preserve">DO OBJETIVO, TEMÁRIO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187" w:lineRule="auto"/>
        <w:ind w:left="110" w:right="105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Conferência Municipal do Meio Ambiente (CMMA) será realizada no período de XX a XX de 2024 no local xxxxx.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187" w:lineRule="auto"/>
        <w:ind w:left="110" w:right="109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CMMA foi convocada em conformidade com a Portaria do Ministério do Meio Ambiente e Mudança do Clima (MMA) nº 1.079 de 10 de junho de 2024.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187" w:lineRule="auto"/>
        <w:ind w:left="110" w:right="10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CMMA constitui-se em instância de participação social que tem por atribuição a definição de propostas sobre Emergência Climática para subsidiar a implementação da Polí- tica Nacional sobre Mudança do Clima.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CMMA tem por objetivo analisar, propor e deliberar propostas com base na rea- lidade local, e eleger pessoas delegadas para xxª Conferência Estadual do Meio Ambiente, nos termos da Portaria do Ministério do Meio Ambiente e Mudança do Clima (MMA) nº XX de XX de XXX de 2024, que convoca a 5ª Conferência Nacional do Meio Ambiente - 5ª CNMA.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40" w:lineRule="auto"/>
        <w:ind w:left="110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CMMA tem como tema “Emergência Climática” e está organizada em 5 eixos: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</w:tabs>
        <w:spacing w:after="0" w:before="260" w:line="240" w:lineRule="auto"/>
        <w:ind w:left="797" w:right="0" w:hanging="12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Mitigação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"/>
        </w:tabs>
        <w:spacing w:after="0" w:before="146" w:line="240" w:lineRule="auto"/>
        <w:ind w:left="856" w:right="0" w:hanging="179.00000000000006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Adaptação e preparação para desastres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</w:tabs>
        <w:spacing w:after="0" w:before="146" w:line="240" w:lineRule="auto"/>
        <w:ind w:left="916" w:right="0" w:hanging="239.00000000000006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Transformação Ecológica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1"/>
        </w:tabs>
        <w:spacing w:after="0" w:before="146" w:line="240" w:lineRule="auto"/>
        <w:ind w:left="951" w:right="0" w:hanging="274.00000000000006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Justiça Climática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2"/>
        </w:tabs>
        <w:spacing w:after="0" w:before="146" w:line="240" w:lineRule="auto"/>
        <w:ind w:left="892" w:right="0" w:hanging="215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Governança e Educação Ambiental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" w:line="187" w:lineRule="auto"/>
        <w:ind w:left="110" w:right="10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300" w:left="740" w:right="740" w:header="0" w:footer="648"/>
        </w:sect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 documento-base da 5ª Conferência Nacional do Meio Ambiente, que reú- ne informações técnicas e conceituais sobre o tema e os eixos temáticos, é o ponto de partida dos trabalhos.</w:t>
      </w:r>
    </w:p>
    <w:p w:rsidR="00000000" w:rsidDel="00000000" w:rsidP="00000000" w:rsidRDefault="00000000" w:rsidRPr="00000000" w14:paraId="0000001E">
      <w:pPr>
        <w:pStyle w:val="Heading1"/>
        <w:spacing w:before="84" w:line="446" w:lineRule="auto"/>
        <w:ind w:left="4159" w:right="4072" w:firstLine="361.9999999999999"/>
        <w:jc w:val="left"/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00915" y="2249968"/>
                          <a:ext cx="90170" cy="3060065"/>
                        </a:xfrm>
                        <a:custGeom>
                          <a:rect b="b" l="l" r="r" t="t"/>
                          <a:pathLst>
                            <a:path extrusionOk="0" h="3060065" w="90170">
                              <a:moveTo>
                                <a:pt x="90004" y="0"/>
                              </a:moveTo>
                              <a:lnTo>
                                <a:pt x="0" y="0"/>
                              </a:lnTo>
                              <a:lnTo>
                                <a:pt x="0" y="3060001"/>
                              </a:lnTo>
                              <a:lnTo>
                                <a:pt x="90004" y="3060001"/>
                              </a:lnTo>
                              <a:lnTo>
                                <a:pt x="9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76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" cy="306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CAPÍTULO II DA ORGANIZAÇÃO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Comissão Organizadora é a instância responsável pela gestão e organização da Conferência Municipal Meio Ambiente - CMMA, nomeada pelo poder público municipal com integrantes indicados pelo órgão responsável pelo meio ambiente, observando-se, na sua composição, os percentuais de representação de setores privados e da sociedade civil na Comissão Organizadora Nacional.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CMMA será presidida pelo (prefeito ou gestor da pasta de ambiente ou presidente do conselho municipal de meio ambiente).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40" w:lineRule="auto"/>
        <w:ind w:left="110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ausência do presidente, a Comissão Organizadora será presidida por XXXXX</w:t>
      </w:r>
    </w:p>
    <w:p w:rsidR="00000000" w:rsidDel="00000000" w:rsidP="00000000" w:rsidRDefault="00000000" w:rsidRPr="00000000" w14:paraId="00000022">
      <w:pPr>
        <w:pStyle w:val="Heading1"/>
        <w:spacing w:before="258" w:lineRule="auto"/>
        <w:ind w:firstLine="7"/>
        <w:rPr/>
      </w:pPr>
      <w:r w:rsidDel="00000000" w:rsidR="00000000" w:rsidRPr="00000000">
        <w:rPr>
          <w:rtl w:val="0"/>
        </w:rPr>
        <w:t xml:space="preserve">CAPÍTULO III</w:t>
      </w:r>
    </w:p>
    <w:p w:rsidR="00000000" w:rsidDel="00000000" w:rsidP="00000000" w:rsidRDefault="00000000" w:rsidRPr="00000000" w14:paraId="00000023">
      <w:pPr>
        <w:spacing w:before="290" w:lineRule="auto"/>
        <w:ind w:left="7" w:right="7" w:firstLine="0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DOS PARTICIPANTES E DO CREDENCIAMENTO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7" w:lineRule="auto"/>
        <w:ind w:left="110" w:right="101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8º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Poderá participar da Conferência Municipal do Meio Ambiente qualquer pessoa maior de 16 anos, devidamente inscrita, assegurando a ampla participação de representantes da sociedade civil e do poder público.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329" w:lineRule="auto"/>
        <w:ind w:left="110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9º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credenciamento dos(as) participantes da 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CMMA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efetuado no dia xx das xx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110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às xx horas e tem como objetivo identificá-los(a) em categorias.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" w:line="240" w:lineRule="auto"/>
        <w:ind w:left="110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10º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XXª CMMA, os participantes serão credenciados em três categorias: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</w:tabs>
        <w:spacing w:after="0" w:before="260" w:line="240" w:lineRule="auto"/>
        <w:ind w:left="797" w:right="0" w:hanging="12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Participante com direito a voz e voto;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6"/>
        </w:tabs>
        <w:spacing w:after="0" w:before="259" w:line="240" w:lineRule="auto"/>
        <w:ind w:left="856" w:right="0" w:hanging="179.00000000000006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Convidados(as) com direito a voz; 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</w:tabs>
        <w:spacing w:after="0" w:before="259" w:line="240" w:lineRule="auto"/>
        <w:ind w:left="916" w:right="0" w:hanging="239.00000000000006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Observadores(as) sem direito a voz e voto.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" w:line="187" w:lineRule="auto"/>
        <w:ind w:left="110" w:right="10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§1º Caso o município tenha Conselho Municipal de Meio Ambiente constituído, serão consi- derados Participantes Natos os seus Conselheiros titulares e suplentes.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" w:line="187" w:lineRule="auto"/>
        <w:ind w:left="110" w:right="10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§2º As pessoas descritas nos incisos II e III serão convidadas pela Comissão Organizadora Municipal ou Intermunicipal.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" w:line="187" w:lineRule="auto"/>
        <w:ind w:left="110" w:right="10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§3º Para os participantes que tiverem interesse em se candidatar para vaga de pessoa dele- gada, deverá comprovar ser morador de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há pelo menos 02 (dois) anos.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187" w:lineRule="auto"/>
        <w:ind w:left="110" w:right="104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300" w:left="740" w:right="740" w:header="0" w:footer="648"/>
        </w:sect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11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excepcionalidades surgidas no credenciamento serão tratadas pela Comissão Organizadora Municipal (ou Intermunicipal)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187" w:lineRule="auto"/>
        <w:ind w:left="110" w:right="106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00915" y="2249968"/>
                          <a:ext cx="90170" cy="3060065"/>
                        </a:xfrm>
                        <a:custGeom>
                          <a:rect b="b" l="l" r="r" t="t"/>
                          <a:pathLst>
                            <a:path extrusionOk="0" h="3060065" w="90170">
                              <a:moveTo>
                                <a:pt x="90004" y="0"/>
                              </a:moveTo>
                              <a:lnTo>
                                <a:pt x="0" y="0"/>
                              </a:lnTo>
                              <a:lnTo>
                                <a:pt x="0" y="3060001"/>
                              </a:lnTo>
                              <a:lnTo>
                                <a:pt x="90004" y="3060001"/>
                              </a:lnTo>
                              <a:lnTo>
                                <a:pt x="9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76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" cy="306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12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divulgado pela Comissão Organizadora, após o término do credenciamento, o número de participantes da xx Conferência Municipal do Meio Ambiente aptos(as) a votar, bem como o número de convidados(as) e observadores (as).</w:t>
      </w:r>
    </w:p>
    <w:p w:rsidR="00000000" w:rsidDel="00000000" w:rsidP="00000000" w:rsidRDefault="00000000" w:rsidRPr="00000000" w14:paraId="00000031">
      <w:pPr>
        <w:pStyle w:val="Heading1"/>
        <w:spacing w:before="282" w:line="446" w:lineRule="auto"/>
        <w:ind w:left="4101" w:right="4072" w:firstLine="376.9999999999999"/>
        <w:jc w:val="left"/>
        <w:rPr/>
      </w:pPr>
      <w:r w:rsidDel="00000000" w:rsidR="00000000" w:rsidRPr="00000000">
        <w:rPr>
          <w:rtl w:val="0"/>
        </w:rPr>
        <w:t xml:space="preserve">CAPÍTULO IV DA PROGRAMAÇÃO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110" w:right="795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13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CMMA deverá ser realizada observando a seguinte programação: Abertura e apresentação da programação;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187" w:lineRule="auto"/>
        <w:ind w:left="110" w:right="10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Dinâmica sobre o Tema e os 5 Eixos detalhados no documento-base da 5ª Conferência Na- cional do Meio Ambiente;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240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Grupos de Trabalhos por Eixos;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Plenária Final/Deliberações a partir das prioridades definidas pelos grupos de Trabalho;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" w:line="240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Eleição de pessoas delegadas para a Conferência Estadual do Meio Ambiente.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" w:line="329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 Regulamento ficará aberto para consulta pública no prazo de XXXX a XXXX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XXXX e validado pela Comissão Organizadora Municipal até o dia XXX.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line="446" w:lineRule="auto"/>
        <w:ind w:left="4432" w:right="4430" w:firstLine="6.999999999999886"/>
        <w:rPr/>
      </w:pPr>
      <w:r w:rsidDel="00000000" w:rsidR="00000000" w:rsidRPr="00000000">
        <w:rPr>
          <w:rtl w:val="0"/>
        </w:rPr>
        <w:t xml:space="preserve">CAPÍTULO V DA DINÂMICA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7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14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Dinâmica 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finalidade promover o aprofundamento do debate dos 5 (cinco)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eixos, de que trata o artigo 5º.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ind w:firstLine="7"/>
        <w:rPr/>
      </w:pPr>
      <w:r w:rsidDel="00000000" w:rsidR="00000000" w:rsidRPr="00000000">
        <w:rPr>
          <w:rtl w:val="0"/>
        </w:rPr>
        <w:t xml:space="preserve">CAPÍTULO VI</w:t>
      </w:r>
    </w:p>
    <w:p w:rsidR="00000000" w:rsidDel="00000000" w:rsidP="00000000" w:rsidRDefault="00000000" w:rsidRPr="00000000" w14:paraId="00000041">
      <w:pPr>
        <w:spacing w:before="290" w:lineRule="auto"/>
        <w:ind w:left="7" w:right="7" w:firstLine="0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DOS GRUPOS DE TRABALHO POR EIXO TEMÁTICO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187" w:lineRule="auto"/>
        <w:ind w:left="110" w:right="109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15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grupos de Trabalho serão organizados de modo que cada grupo discuta cada um dos 5 Eixos da Conferência.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" w:line="187" w:lineRule="auto"/>
        <w:ind w:left="110" w:right="10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300" w:left="740" w:right="740" w:header="0" w:footer="648"/>
        </w:sect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16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Deve-se assegurar que todos os Eixos sejam discutidos por, pelo menos, 1 Grupo de Trabalho.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00915" y="2249968"/>
                          <a:ext cx="90170" cy="3060065"/>
                        </a:xfrm>
                        <a:custGeom>
                          <a:rect b="b" l="l" r="r" t="t"/>
                          <a:pathLst>
                            <a:path extrusionOk="0" h="3060065" w="90170">
                              <a:moveTo>
                                <a:pt x="90004" y="0"/>
                              </a:moveTo>
                              <a:lnTo>
                                <a:pt x="0" y="0"/>
                              </a:lnTo>
                              <a:lnTo>
                                <a:pt x="0" y="3060001"/>
                              </a:lnTo>
                              <a:lnTo>
                                <a:pt x="90004" y="3060001"/>
                              </a:lnTo>
                              <a:lnTo>
                                <a:pt x="9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76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" cy="306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17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Cada Grupo de Trabalho deve construir propostas sobre o respectivo Eixo debatido.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" w:line="240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18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propostas construídas devem ser registradas por cada um dos grupos.</w:t>
      </w:r>
    </w:p>
    <w:p w:rsidR="00000000" w:rsidDel="00000000" w:rsidP="00000000" w:rsidRDefault="00000000" w:rsidRPr="00000000" w14:paraId="00000048">
      <w:pPr>
        <w:pStyle w:val="Heading1"/>
        <w:spacing w:before="258" w:lineRule="auto"/>
        <w:ind w:firstLine="7"/>
        <w:rPr/>
      </w:pPr>
      <w:r w:rsidDel="00000000" w:rsidR="00000000" w:rsidRPr="00000000">
        <w:rPr>
          <w:rtl w:val="0"/>
        </w:rPr>
        <w:t xml:space="preserve">CAPÍTULO VII</w:t>
      </w:r>
    </w:p>
    <w:p w:rsidR="00000000" w:rsidDel="00000000" w:rsidP="00000000" w:rsidRDefault="00000000" w:rsidRPr="00000000" w14:paraId="00000049">
      <w:pPr>
        <w:spacing w:before="290" w:lineRule="auto"/>
        <w:ind w:left="7" w:right="0" w:firstLine="0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DA PLENÁRIA FINAL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19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Plenária Final é o momento de: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240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Priorização das Propostas; 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" w:line="240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Eleição da delegação que participará da Conferência Estadual.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" w:line="329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20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Deliberações na Plenária Final serão definidas a partir das prioridades estabelecidas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pelos Grupos de Trabalho considerando os 5 Eixos da Conferência.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21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propostas construídas pelos Grupos de Trabalho serão apreciadas e priorizadas pelos participantes, com o objetivo de definir as deliberações finais que serão encaminhadas para a sistematização pela Comissão Organizadora Estadual.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22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Plenária Final terão direito a voto os (as) participantes devidamente credenciados (as) na xx Conferência Municipal e que estejam de posse do crachá de identificação. Aos con- vidados(as) será garantido o direito a voz.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187" w:lineRule="auto"/>
        <w:ind w:left="110" w:right="106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23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Plenária Final deve resultar em um conjunto de no máximo 10 propostas, de até 400 caracteres, com espaço, cada, sendo 2 por eixo temático.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24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resultados da Conferência Municipal do Meio Ambiente serão encaminhados para a Comissão Organizadora Estadual por meio da Plataforma Brasil Participativo ou em instru- mento próprio definido pela Comissão Organizadora Estadual.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spacing w:before="1" w:lineRule="auto"/>
        <w:ind w:firstLine="7"/>
        <w:rPr/>
      </w:pPr>
      <w:r w:rsidDel="00000000" w:rsidR="00000000" w:rsidRPr="00000000">
        <w:rPr>
          <w:rtl w:val="0"/>
        </w:rPr>
        <w:t xml:space="preserve">CAPÍTULO VIII</w:t>
      </w:r>
    </w:p>
    <w:p w:rsidR="00000000" w:rsidDel="00000000" w:rsidP="00000000" w:rsidRDefault="00000000" w:rsidRPr="00000000" w14:paraId="00000058">
      <w:pPr>
        <w:spacing w:before="289" w:lineRule="auto"/>
        <w:ind w:left="7" w:right="7" w:firstLine="0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DA ELEIÇÃO DAS PESSOAS DELEGADAS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" w:line="329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25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Plenária Final, serão XX eleitas pessoas delegadas para participar da xxª Conferên-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cia Estadual do Meio Ambiente, conforme quantitativo e critérios definidos em XXXX.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300" w:left="740" w:right="740" w:header="0" w:footer="648"/>
        </w:sect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26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elencado no parágrafo segundo do artigo 10º deste Regimento, poderão ser candidatas a pessoas delegadas para a xxª Conferência Estadual do Meio Ambiente os participantes moradores de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há pelo menos 02 (dois) anos.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329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00915" y="2249968"/>
                          <a:ext cx="90170" cy="3060065"/>
                        </a:xfrm>
                        <a:custGeom>
                          <a:rect b="b" l="l" r="r" t="t"/>
                          <a:pathLst>
                            <a:path extrusionOk="0" h="3060065" w="90170">
                              <a:moveTo>
                                <a:pt x="90004" y="0"/>
                              </a:moveTo>
                              <a:lnTo>
                                <a:pt x="0" y="0"/>
                              </a:lnTo>
                              <a:lnTo>
                                <a:pt x="0" y="3060001"/>
                              </a:lnTo>
                              <a:lnTo>
                                <a:pt x="90004" y="3060001"/>
                              </a:lnTo>
                              <a:lnTo>
                                <a:pt x="9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4761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3811245</wp:posOffset>
                </wp:positionV>
                <wp:extent cx="99695" cy="306959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5" cy="3069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único.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candidatos a pessoas delegadas para a xx Conferência Estadual do Meio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Ambiente deverão apresentar documento de identificação oficial com foto.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7" w:lineRule="auto"/>
        <w:ind w:left="110" w:right="108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27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escolha das xx pessoas delegadas para a xx Conferência Estadual do Meio Ambiente, entre participantes da xx Conferência Municipal do Meio Ambiente, deverá observar a seguin- te composição: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50% de representantes da sociedade civil, assegurando que destes, no mínimo 1/5 sejam de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povos/comunidades tradicionais e povos indígenas;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" w:line="408" w:lineRule="auto"/>
        <w:ind w:left="110" w:right="5244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30% de representantes do setor privado; e 20% de representantes do poder público.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1º. A escolha das pessoas delegadas para a xx Conferência Estadual se dará em conformi- dade com o número de vagas destinadas ao município pelo Regulamento da Conferência Estadual do Meio Ambiente.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2" w:line="187" w:lineRule="auto"/>
        <w:ind w:left="110" w:right="10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2º. Serão eleitas xx pessoas suplentes de pessoas delegadas para a xx Conferência Estadual paritariamente.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3º Para a escolha das pessoas delegadas titulares e suplentes será obrigatório observar 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11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cota de no mínimo 50% de mulheres e de no mínimo 50% de pessoas negras.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7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28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relação das pessoas delegadas para a xx Conferência Estadual eleitas e suas res- pectivas suplentes deverá ser enviada à Comissão Organizadora Estadual em até 7 (sete) dias após a realização da Conferência Municipal do Meio Ambiente.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" w:line="187" w:lineRule="auto"/>
        <w:ind w:left="110" w:right="107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único.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impossibilidade de a pessoa delegada titular estar presente na Confe- rência Estadual, a respectiva pessoa suplente será convocada para exercer a representação do município.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ind w:right="5" w:firstLine="7"/>
        <w:rPr/>
      </w:pPr>
      <w:r w:rsidDel="00000000" w:rsidR="00000000" w:rsidRPr="00000000">
        <w:rPr>
          <w:rtl w:val="0"/>
        </w:rPr>
        <w:t xml:space="preserve">CAPÍTULO IX</w:t>
      </w:r>
    </w:p>
    <w:p w:rsidR="00000000" w:rsidDel="00000000" w:rsidP="00000000" w:rsidRDefault="00000000" w:rsidRPr="00000000" w14:paraId="0000006D">
      <w:pPr>
        <w:spacing w:before="289" w:lineRule="auto"/>
        <w:ind w:left="7" w:right="7" w:firstLine="0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DAS DISPOSIÇÕES GERAIS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0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29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casos omissos serão resolvidos pela Comissão Organizadora Municipal.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" w:line="240" w:lineRule="auto"/>
        <w:ind w:left="110" w:right="0" w:firstLine="0"/>
        <w:jc w:val="both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30 </w:t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Regulamento entrará em vigor na data de sua publicação.</w:t>
      </w:r>
    </w:p>
    <w:sectPr>
      <w:type w:val="nextPage"/>
      <w:pgSz w:h="16840" w:w="11910" w:orient="portrait"/>
      <w:pgMar w:bottom="840" w:top="1300" w:left="740" w:right="740" w:header="0" w:footer="64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ucida San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5461000</wp:posOffset>
              </wp:positionH>
              <wp:positionV relativeFrom="paragraph">
                <wp:posOffset>10147300</wp:posOffset>
              </wp:positionV>
              <wp:extent cx="1630680" cy="54864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535423" y="3510443"/>
                        <a:ext cx="1621155" cy="539115"/>
                      </a:xfrm>
                      <a:custGeom>
                        <a:rect b="b" l="l" r="r" t="t"/>
                        <a:pathLst>
                          <a:path extrusionOk="0" h="539115" w="1621155">
                            <a:moveTo>
                              <a:pt x="1620901" y="0"/>
                            </a:moveTo>
                            <a:lnTo>
                              <a:pt x="1084491" y="0"/>
                            </a:lnTo>
                            <a:lnTo>
                              <a:pt x="1084491" y="254241"/>
                            </a:lnTo>
                            <a:lnTo>
                              <a:pt x="0" y="254241"/>
                            </a:lnTo>
                            <a:lnTo>
                              <a:pt x="0" y="290245"/>
                            </a:lnTo>
                            <a:lnTo>
                              <a:pt x="1084491" y="290245"/>
                            </a:lnTo>
                            <a:lnTo>
                              <a:pt x="1084491" y="538645"/>
                            </a:lnTo>
                            <a:lnTo>
                              <a:pt x="1620901" y="538645"/>
                            </a:lnTo>
                            <a:lnTo>
                              <a:pt x="1620901" y="0"/>
                            </a:lnTo>
                            <a:close/>
                          </a:path>
                        </a:pathLst>
                      </a:custGeom>
                      <a:solidFill>
                        <a:srgbClr val="0F4761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5461000</wp:posOffset>
              </wp:positionH>
              <wp:positionV relativeFrom="paragraph">
                <wp:posOffset>10147300</wp:posOffset>
              </wp:positionV>
              <wp:extent cx="1630680" cy="548640"/>
              <wp:effectExtent b="0" l="0" r="0" t="0"/>
              <wp:wrapNone/>
              <wp:docPr id="1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0680" cy="5486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10401300</wp:posOffset>
              </wp:positionV>
              <wp:extent cx="1094105" cy="4572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03710" y="3761903"/>
                        <a:ext cx="1084580" cy="36195"/>
                      </a:xfrm>
                      <a:custGeom>
                        <a:rect b="b" l="l" r="r" t="t"/>
                        <a:pathLst>
                          <a:path extrusionOk="0" h="36195" w="1084580">
                            <a:moveTo>
                              <a:pt x="1084503" y="0"/>
                            </a:moveTo>
                            <a:lnTo>
                              <a:pt x="0" y="0"/>
                            </a:lnTo>
                            <a:lnTo>
                              <a:pt x="0" y="36004"/>
                            </a:lnTo>
                            <a:lnTo>
                              <a:pt x="1084503" y="36004"/>
                            </a:lnTo>
                            <a:lnTo>
                              <a:pt x="1084503" y="0"/>
                            </a:lnTo>
                            <a:close/>
                          </a:path>
                        </a:pathLst>
                      </a:custGeom>
                      <a:solidFill>
                        <a:srgbClr val="0F4761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</wp:posOffset>
              </wp:positionH>
              <wp:positionV relativeFrom="paragraph">
                <wp:posOffset>10401300</wp:posOffset>
              </wp:positionV>
              <wp:extent cx="1094105" cy="45720"/>
              <wp:effectExtent b="0" l="0" r="0" t="0"/>
              <wp:wrapNone/>
              <wp:docPr id="1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410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6616700</wp:posOffset>
              </wp:positionH>
              <wp:positionV relativeFrom="paragraph">
                <wp:posOffset>10236200</wp:posOffset>
              </wp:positionV>
              <wp:extent cx="354965" cy="29718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173280" y="3636173"/>
                        <a:ext cx="3454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5.999999046325684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30"/>
                              <w:vertAlign w:val="baseline"/>
                            </w:rPr>
                            <w:t xml:space="preserve"> PAGE 20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6616700</wp:posOffset>
              </wp:positionH>
              <wp:positionV relativeFrom="paragraph">
                <wp:posOffset>10236200</wp:posOffset>
              </wp:positionV>
              <wp:extent cx="354965" cy="29718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965" cy="297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10337800</wp:posOffset>
              </wp:positionV>
              <wp:extent cx="3869054" cy="14986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416236" y="3709833"/>
                        <a:ext cx="3859529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7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Passo a passo para a organização da Conferência Municipal de Meio Ambiente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10337800</wp:posOffset>
              </wp:positionV>
              <wp:extent cx="3869054" cy="149860"/>
              <wp:effectExtent b="0" l="0" r="0" t="0"/>
              <wp:wrapNone/>
              <wp:docPr id="1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9054" cy="149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"/>
      <w:lvlJc w:val="left"/>
      <w:pPr>
        <w:ind w:left="797" w:hanging="120.99999999999989"/>
      </w:pPr>
      <w:rPr>
        <w:rFonts w:ascii="Lucida Sans" w:cs="Lucida Sans" w:eastAsia="Lucida Sans" w:hAnsi="Lucida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62" w:hanging="121"/>
      </w:pPr>
      <w:rPr/>
    </w:lvl>
    <w:lvl w:ilvl="2">
      <w:start w:val="0"/>
      <w:numFmt w:val="bullet"/>
      <w:lvlText w:val="•"/>
      <w:lvlJc w:val="left"/>
      <w:pPr>
        <w:ind w:left="2725" w:hanging="121"/>
      </w:pPr>
      <w:rPr/>
    </w:lvl>
    <w:lvl w:ilvl="3">
      <w:start w:val="0"/>
      <w:numFmt w:val="bullet"/>
      <w:lvlText w:val="•"/>
      <w:lvlJc w:val="left"/>
      <w:pPr>
        <w:ind w:left="3687" w:hanging="121.00000000000045"/>
      </w:pPr>
      <w:rPr/>
    </w:lvl>
    <w:lvl w:ilvl="4">
      <w:start w:val="0"/>
      <w:numFmt w:val="bullet"/>
      <w:lvlText w:val="•"/>
      <w:lvlJc w:val="left"/>
      <w:pPr>
        <w:ind w:left="4650" w:hanging="121"/>
      </w:pPr>
      <w:rPr/>
    </w:lvl>
    <w:lvl w:ilvl="5">
      <w:start w:val="0"/>
      <w:numFmt w:val="bullet"/>
      <w:lvlText w:val="•"/>
      <w:lvlJc w:val="left"/>
      <w:pPr>
        <w:ind w:left="5612" w:hanging="121"/>
      </w:pPr>
      <w:rPr/>
    </w:lvl>
    <w:lvl w:ilvl="6">
      <w:start w:val="0"/>
      <w:numFmt w:val="bullet"/>
      <w:lvlText w:val="•"/>
      <w:lvlJc w:val="left"/>
      <w:pPr>
        <w:ind w:left="6575" w:hanging="121"/>
      </w:pPr>
      <w:rPr/>
    </w:lvl>
    <w:lvl w:ilvl="7">
      <w:start w:val="0"/>
      <w:numFmt w:val="bullet"/>
      <w:lvlText w:val="•"/>
      <w:lvlJc w:val="left"/>
      <w:pPr>
        <w:ind w:left="7537" w:hanging="121"/>
      </w:pPr>
      <w:rPr/>
    </w:lvl>
    <w:lvl w:ilvl="8">
      <w:start w:val="0"/>
      <w:numFmt w:val="bullet"/>
      <w:lvlText w:val="•"/>
      <w:lvlJc w:val="left"/>
      <w:pPr>
        <w:ind w:left="8500" w:hanging="121"/>
      </w:pPr>
      <w:rPr/>
    </w:lvl>
  </w:abstractNum>
  <w:abstractNum w:abstractNumId="2">
    <w:lvl w:ilvl="0">
      <w:start w:val="1"/>
      <w:numFmt w:val="upperRoman"/>
      <w:lvlText w:val="%1"/>
      <w:lvlJc w:val="left"/>
      <w:pPr>
        <w:ind w:left="797" w:hanging="120.99999999999989"/>
      </w:pPr>
      <w:rPr>
        <w:rFonts w:ascii="Lucida Sans" w:cs="Lucida Sans" w:eastAsia="Lucida Sans" w:hAnsi="Lucida Sans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62" w:hanging="121"/>
      </w:pPr>
      <w:rPr/>
    </w:lvl>
    <w:lvl w:ilvl="2">
      <w:start w:val="0"/>
      <w:numFmt w:val="bullet"/>
      <w:lvlText w:val="•"/>
      <w:lvlJc w:val="left"/>
      <w:pPr>
        <w:ind w:left="2725" w:hanging="121"/>
      </w:pPr>
      <w:rPr/>
    </w:lvl>
    <w:lvl w:ilvl="3">
      <w:start w:val="0"/>
      <w:numFmt w:val="bullet"/>
      <w:lvlText w:val="•"/>
      <w:lvlJc w:val="left"/>
      <w:pPr>
        <w:ind w:left="3687" w:hanging="121.00000000000045"/>
      </w:pPr>
      <w:rPr/>
    </w:lvl>
    <w:lvl w:ilvl="4">
      <w:start w:val="0"/>
      <w:numFmt w:val="bullet"/>
      <w:lvlText w:val="•"/>
      <w:lvlJc w:val="left"/>
      <w:pPr>
        <w:ind w:left="4650" w:hanging="121"/>
      </w:pPr>
      <w:rPr/>
    </w:lvl>
    <w:lvl w:ilvl="5">
      <w:start w:val="0"/>
      <w:numFmt w:val="bullet"/>
      <w:lvlText w:val="•"/>
      <w:lvlJc w:val="left"/>
      <w:pPr>
        <w:ind w:left="5612" w:hanging="121"/>
      </w:pPr>
      <w:rPr/>
    </w:lvl>
    <w:lvl w:ilvl="6">
      <w:start w:val="0"/>
      <w:numFmt w:val="bullet"/>
      <w:lvlText w:val="•"/>
      <w:lvlJc w:val="left"/>
      <w:pPr>
        <w:ind w:left="6575" w:hanging="121"/>
      </w:pPr>
      <w:rPr/>
    </w:lvl>
    <w:lvl w:ilvl="7">
      <w:start w:val="0"/>
      <w:numFmt w:val="bullet"/>
      <w:lvlText w:val="•"/>
      <w:lvlJc w:val="left"/>
      <w:pPr>
        <w:ind w:left="7537" w:hanging="121"/>
      </w:pPr>
      <w:rPr/>
    </w:lvl>
    <w:lvl w:ilvl="8">
      <w:start w:val="0"/>
      <w:numFmt w:val="bullet"/>
      <w:lvlText w:val="•"/>
      <w:lvlJc w:val="left"/>
      <w:pPr>
        <w:ind w:left="8500" w:hanging="12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ucida Sans" w:cs="Lucida Sans" w:eastAsia="Lucida Sans" w:hAnsi="Lucida San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" w:right="7"/>
      <w:jc w:val="center"/>
    </w:pPr>
    <w:rPr>
      <w:rFonts w:ascii="Arial Black" w:cs="Arial Black" w:eastAsia="Arial Black" w:hAnsi="Arial Black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470" w:lineRule="auto"/>
      <w:ind w:left="7" w:right="7"/>
      <w:jc w:val="center"/>
    </w:pPr>
    <w:rPr>
      <w:rFonts w:ascii="Arial Black" w:cs="Arial Black" w:eastAsia="Arial Black" w:hAnsi="Arial Black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Lucida Sans Unicode" w:cs="Lucida Sans Unicode" w:eastAsia="Lucida Sans Unicode" w:hAnsi="Lucida Sans Unicode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ind w:left="110"/>
    </w:pPr>
    <w:rPr>
      <w:rFonts w:ascii="Lucida Sans Unicode" w:cs="Lucida Sans Unicode" w:eastAsia="Lucida Sans Unicode" w:hAnsi="Lucida Sans Unicode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" w:right="7"/>
      <w:jc w:val="center"/>
      <w:outlineLvl w:val="1"/>
    </w:pPr>
    <w:rPr>
      <w:rFonts w:ascii="Arial Black" w:cs="Arial Black" w:eastAsia="Arial Black" w:hAnsi="Arial Black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line="470" w:lineRule="exact"/>
      <w:ind w:left="7" w:right="7"/>
      <w:jc w:val="center"/>
    </w:pPr>
    <w:rPr>
      <w:rFonts w:ascii="Arial Black" w:cs="Arial Black" w:eastAsia="Arial Black" w:hAnsi="Arial Black"/>
      <w:sz w:val="36"/>
      <w:szCs w:val="3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46"/>
      <w:ind w:left="797" w:hanging="239"/>
    </w:pPr>
    <w:rPr>
      <w:rFonts w:ascii="Lucida Sans Unicode" w:cs="Lucida Sans Unicode" w:eastAsia="Lucida Sans Unicode" w:hAnsi="Lucida Sans Unicode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lvyzqG2PciZUABfSaDm/5jlbg==">CgMxLjA4AHIhMWtEMVlFeXh5MER6U0NRLTc3a0dkem40aHAwR1ZZMlVz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2024-08-12T13:52:29Z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2024-08-12T00:00:00Z</vt:lpwstr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lpwstr>2024-08-12T00:00:00Z</vt:lpwstr>
  </property>
</Properties>
</file>